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4" w:rsidRPr="00C122D4" w:rsidRDefault="00C122D4" w:rsidP="00C122D4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122D4">
        <w:rPr>
          <w:b/>
          <w:sz w:val="28"/>
          <w:szCs w:val="28"/>
        </w:rPr>
        <w:t>РАЗРАБОТКА СИСТЕМЫ И УСТРОЙСТВ ТЯГОВОГО ЭЛЕКТРОСНАБЖЕНИЯ С ПОВЫШЕННЫМИ                          ТЕХНИКО – ЭНЕРГЕТИЧЕСКИМИ ПОКАЗАТЕЛЯМИ</w:t>
      </w:r>
    </w:p>
    <w:p w:rsidR="00C122D4" w:rsidRPr="00C122D4" w:rsidRDefault="00C122D4" w:rsidP="00C122D4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C122D4">
        <w:rPr>
          <w:b/>
          <w:sz w:val="28"/>
          <w:szCs w:val="28"/>
        </w:rPr>
        <w:t>И.А. Баева, аспирант (1 год обучения)</w:t>
      </w:r>
    </w:p>
    <w:p w:rsidR="00C122D4" w:rsidRPr="00C122D4" w:rsidRDefault="00C122D4" w:rsidP="00C122D4">
      <w:pPr>
        <w:spacing w:line="360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>Научный руководитель – Б.А. Аржанников, д.т.н., доцент каф. ЭЛС</w:t>
      </w:r>
    </w:p>
    <w:p w:rsidR="007F6FFD" w:rsidRPr="00C122D4" w:rsidRDefault="007F6FFD" w:rsidP="00C122D4">
      <w:pPr>
        <w:spacing w:line="360" w:lineRule="auto"/>
        <w:jc w:val="center"/>
        <w:rPr>
          <w:sz w:val="28"/>
          <w:szCs w:val="28"/>
        </w:rPr>
      </w:pPr>
    </w:p>
    <w:p w:rsidR="000C7F21" w:rsidRDefault="00161570" w:rsidP="005732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посвящено </w:t>
      </w:r>
      <w:r w:rsidR="00AA5C7D">
        <w:rPr>
          <w:sz w:val="28"/>
          <w:szCs w:val="28"/>
        </w:rPr>
        <w:t xml:space="preserve">повышению </w:t>
      </w:r>
      <w:proofErr w:type="spellStart"/>
      <w:r w:rsidR="00AA5C7D">
        <w:rPr>
          <w:sz w:val="28"/>
          <w:szCs w:val="28"/>
        </w:rPr>
        <w:t>технико</w:t>
      </w:r>
      <w:proofErr w:type="spellEnd"/>
      <w:r w:rsidR="00AA5C7D">
        <w:rPr>
          <w:sz w:val="28"/>
          <w:szCs w:val="28"/>
        </w:rPr>
        <w:t xml:space="preserve"> – энергетических показателей </w:t>
      </w:r>
      <w:r w:rsidR="000C7F21">
        <w:rPr>
          <w:sz w:val="28"/>
          <w:szCs w:val="28"/>
        </w:rPr>
        <w:t xml:space="preserve">согласованной </w:t>
      </w:r>
      <w:r w:rsidR="00573200">
        <w:rPr>
          <w:sz w:val="28"/>
          <w:szCs w:val="28"/>
        </w:rPr>
        <w:t xml:space="preserve">организации движения поездов </w:t>
      </w:r>
      <w:r w:rsidR="000C7F21">
        <w:rPr>
          <w:sz w:val="28"/>
          <w:szCs w:val="28"/>
        </w:rPr>
        <w:t>и устройств системы тягового электроснабжения</w:t>
      </w:r>
      <w:r w:rsidR="00573200">
        <w:rPr>
          <w:sz w:val="28"/>
          <w:szCs w:val="28"/>
        </w:rPr>
        <w:t xml:space="preserve">. </w:t>
      </w:r>
    </w:p>
    <w:p w:rsidR="00027A10" w:rsidRPr="00C122D4" w:rsidRDefault="00573200" w:rsidP="000C7F21">
      <w:pPr>
        <w:spacing w:line="360" w:lineRule="auto"/>
        <w:ind w:firstLine="709"/>
        <w:jc w:val="both"/>
        <w:rPr>
          <w:sz w:val="28"/>
          <w:szCs w:val="28"/>
        </w:rPr>
      </w:pPr>
      <w:r w:rsidRPr="00573200">
        <w:rPr>
          <w:sz w:val="28"/>
          <w:szCs w:val="28"/>
        </w:rPr>
        <w:t xml:space="preserve">Стратегия развития компании ОАО «Российские железные дороги» включает в себя повышение надежности работы устройств электроснабжения, реализацию мероприятий по обеспечению </w:t>
      </w:r>
      <w:r w:rsidR="000C7F21">
        <w:rPr>
          <w:sz w:val="28"/>
          <w:szCs w:val="28"/>
        </w:rPr>
        <w:t xml:space="preserve">тяжеловесного движения поездов. </w:t>
      </w:r>
      <w:r w:rsidR="00884DDC" w:rsidRPr="00C122D4">
        <w:rPr>
          <w:sz w:val="28"/>
          <w:szCs w:val="28"/>
        </w:rPr>
        <w:t>В диссертационной работе в</w:t>
      </w:r>
      <w:r w:rsidR="004F5E37" w:rsidRPr="00C122D4">
        <w:rPr>
          <w:sz w:val="28"/>
          <w:szCs w:val="28"/>
        </w:rPr>
        <w:t>ыполняется</w:t>
      </w:r>
      <w:r w:rsidR="00027A10" w:rsidRPr="00C122D4">
        <w:rPr>
          <w:sz w:val="28"/>
          <w:szCs w:val="28"/>
        </w:rPr>
        <w:t xml:space="preserve"> анализ функциональной зависимости расхода электрической энергии от напряжения на шинах тяговых подстанций, скорости движения поездов, сложности профиля пути, при пропуске пакета грузовых поездов с одним в пакете соединенным поездом (соединены два одиночных поезда) и при пропуске </w:t>
      </w:r>
      <w:r w:rsidR="000C7F21">
        <w:rPr>
          <w:sz w:val="28"/>
          <w:szCs w:val="28"/>
        </w:rPr>
        <w:t>одиноч</w:t>
      </w:r>
      <w:r w:rsidR="00027A10" w:rsidRPr="00C122D4">
        <w:rPr>
          <w:sz w:val="28"/>
          <w:szCs w:val="28"/>
        </w:rPr>
        <w:t>ны</w:t>
      </w:r>
      <w:r w:rsidR="000C7F21">
        <w:rPr>
          <w:sz w:val="28"/>
          <w:szCs w:val="28"/>
        </w:rPr>
        <w:t>х</w:t>
      </w:r>
      <w:r w:rsidR="00027A10" w:rsidRPr="00C122D4">
        <w:rPr>
          <w:sz w:val="28"/>
          <w:szCs w:val="28"/>
        </w:rPr>
        <w:t xml:space="preserve"> грузовы</w:t>
      </w:r>
      <w:r w:rsidR="000C7F21">
        <w:rPr>
          <w:sz w:val="28"/>
          <w:szCs w:val="28"/>
        </w:rPr>
        <w:t>х</w:t>
      </w:r>
      <w:r w:rsidR="00027A10" w:rsidRPr="00C122D4">
        <w:rPr>
          <w:sz w:val="28"/>
          <w:szCs w:val="28"/>
        </w:rPr>
        <w:t xml:space="preserve"> поезд</w:t>
      </w:r>
      <w:r w:rsidR="000C7F21">
        <w:rPr>
          <w:sz w:val="28"/>
          <w:szCs w:val="28"/>
        </w:rPr>
        <w:t>ов</w:t>
      </w:r>
      <w:r w:rsidR="00027A10" w:rsidRPr="00C122D4">
        <w:rPr>
          <w:sz w:val="28"/>
          <w:szCs w:val="28"/>
        </w:rPr>
        <w:t>.</w:t>
      </w:r>
      <w:r w:rsidR="000C7F21">
        <w:rPr>
          <w:sz w:val="28"/>
          <w:szCs w:val="28"/>
        </w:rPr>
        <w:t xml:space="preserve"> Производится оценка пропускной способности при введении организации пакетного движения с соединенными поездами.</w:t>
      </w:r>
    </w:p>
    <w:p w:rsidR="00884DDC" w:rsidRPr="00C122D4" w:rsidRDefault="00884DDC" w:rsidP="00C122D4">
      <w:pPr>
        <w:spacing w:line="360" w:lineRule="auto"/>
        <w:ind w:firstLine="567"/>
        <w:jc w:val="both"/>
        <w:rPr>
          <w:sz w:val="28"/>
          <w:szCs w:val="28"/>
        </w:rPr>
      </w:pPr>
    </w:p>
    <w:p w:rsidR="00027A10" w:rsidRPr="00C122D4" w:rsidRDefault="00027A10" w:rsidP="00C122D4">
      <w:pPr>
        <w:spacing w:line="360" w:lineRule="auto"/>
        <w:ind w:firstLine="567"/>
        <w:jc w:val="both"/>
        <w:rPr>
          <w:caps/>
          <w:sz w:val="28"/>
          <w:szCs w:val="28"/>
        </w:rPr>
      </w:pPr>
    </w:p>
    <w:sectPr w:rsidR="00027A10" w:rsidRPr="00C1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CAD"/>
    <w:multiLevelType w:val="hybridMultilevel"/>
    <w:tmpl w:val="9948D11E"/>
    <w:lvl w:ilvl="0" w:tplc="C32A933E">
      <w:start w:val="1"/>
      <w:numFmt w:val="decimal"/>
      <w:lvlText w:val="3.%1"/>
      <w:lvlJc w:val="right"/>
      <w:pPr>
        <w:ind w:left="25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D"/>
    <w:rsid w:val="00027A10"/>
    <w:rsid w:val="000C7619"/>
    <w:rsid w:val="000C7F21"/>
    <w:rsid w:val="0011018E"/>
    <w:rsid w:val="00154421"/>
    <w:rsid w:val="00161570"/>
    <w:rsid w:val="0037378E"/>
    <w:rsid w:val="004F5E37"/>
    <w:rsid w:val="00573200"/>
    <w:rsid w:val="007F2993"/>
    <w:rsid w:val="007F6FFD"/>
    <w:rsid w:val="00884DDC"/>
    <w:rsid w:val="008E2781"/>
    <w:rsid w:val="00A212F3"/>
    <w:rsid w:val="00AA5C7D"/>
    <w:rsid w:val="00C122D4"/>
    <w:rsid w:val="00F35203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EA1C-6F39-482B-8855-9A64F6B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Борис Сергеев</cp:lastModifiedBy>
  <cp:revision>2</cp:revision>
  <dcterms:created xsi:type="dcterms:W3CDTF">2017-01-17T04:14:00Z</dcterms:created>
  <dcterms:modified xsi:type="dcterms:W3CDTF">2017-01-17T04:14:00Z</dcterms:modified>
</cp:coreProperties>
</file>